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91" w:rsidRPr="006811D2" w:rsidRDefault="008F1391" w:rsidP="008F1391">
      <w:pPr>
        <w:pStyle w:val="a3"/>
        <w:rPr>
          <w:b/>
          <w:iCs/>
        </w:rPr>
      </w:pPr>
      <w:r>
        <w:rPr>
          <w:b/>
          <w:bCs/>
          <w:color w:val="000000"/>
        </w:rPr>
        <w:t>Профессия</w:t>
      </w:r>
      <w:r w:rsidRPr="006811D2">
        <w:rPr>
          <w:b/>
          <w:bCs/>
          <w:color w:val="000000"/>
        </w:rPr>
        <w:t xml:space="preserve">: </w:t>
      </w:r>
      <w:r>
        <w:rPr>
          <w:b/>
          <w:iCs/>
        </w:rPr>
        <w:t>23</w:t>
      </w:r>
      <w:r w:rsidRPr="006811D2">
        <w:rPr>
          <w:b/>
          <w:iCs/>
        </w:rPr>
        <w:t xml:space="preserve">.01.03 « Автомеханик »  </w:t>
      </w:r>
    </w:p>
    <w:p w:rsidR="008F1391" w:rsidRPr="006811D2" w:rsidRDefault="008F1391" w:rsidP="008F1391">
      <w:pPr>
        <w:pStyle w:val="a3"/>
        <w:rPr>
          <w:b/>
          <w:u w:val="single"/>
        </w:rPr>
      </w:pPr>
      <w:r w:rsidRPr="006811D2">
        <w:rPr>
          <w:b/>
        </w:rPr>
        <w:t>Курс</w:t>
      </w:r>
      <w:r w:rsidRPr="006811D2">
        <w:rPr>
          <w:b/>
          <w:u w:val="single"/>
        </w:rPr>
        <w:t xml:space="preserve">         2           </w:t>
      </w:r>
      <w:r w:rsidRPr="006811D2">
        <w:rPr>
          <w:b/>
        </w:rPr>
        <w:t xml:space="preserve">     Группа</w:t>
      </w:r>
      <w:r w:rsidRPr="006811D2">
        <w:rPr>
          <w:b/>
          <w:u w:val="single"/>
        </w:rPr>
        <w:t xml:space="preserve"> </w:t>
      </w:r>
      <w:r w:rsidRPr="006811D2">
        <w:rPr>
          <w:b/>
        </w:rPr>
        <w:t>АМ-189</w:t>
      </w:r>
    </w:p>
    <w:p w:rsidR="008F1391" w:rsidRPr="006811D2" w:rsidRDefault="008F1391" w:rsidP="008F139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D2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6811D2">
        <w:rPr>
          <w:rFonts w:ascii="Times New Roman" w:hAnsi="Times New Roman" w:cs="Times New Roman"/>
          <w:b/>
          <w:sz w:val="24"/>
          <w:szCs w:val="24"/>
          <w:lang w:eastAsia="ru-RU"/>
        </w:rPr>
        <w:t>ПМ-02 МДК-02.01</w:t>
      </w:r>
    </w:p>
    <w:p w:rsidR="008F1391" w:rsidRPr="006811D2" w:rsidRDefault="008F1391" w:rsidP="008F1391">
      <w:pPr>
        <w:pStyle w:val="a3"/>
        <w:rPr>
          <w:b/>
          <w:u w:val="single"/>
        </w:rPr>
      </w:pPr>
      <w:r w:rsidRPr="006811D2">
        <w:rPr>
          <w:b/>
        </w:rPr>
        <w:t>Ф.И.О. преподавателя НАБИЕВ К.А.</w:t>
      </w:r>
    </w:p>
    <w:p w:rsidR="008F1391" w:rsidRPr="006811D2" w:rsidRDefault="008F1391" w:rsidP="008F1391">
      <w:pPr>
        <w:shd w:val="clear" w:color="auto" w:fill="FFFFFF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 w:rsidRPr="006811D2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Дата занятия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28</w:t>
      </w:r>
      <w:r w:rsidRPr="006811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.03.2020г.</w:t>
      </w:r>
    </w:p>
    <w:p w:rsidR="008F1391" w:rsidRPr="008F1391" w:rsidRDefault="008F139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tt-RU"/>
        </w:rPr>
      </w:pPr>
    </w:p>
    <w:p w:rsidR="008F1391" w:rsidRPr="008F1391" w:rsidRDefault="008F1391">
      <w:pPr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8F1391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Тема урока: Общее устройство электронной системы управления дизельным двигателем типа </w:t>
      </w:r>
      <w:proofErr w:type="spellStart"/>
      <w:r w:rsidRPr="008F1391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Коммон</w:t>
      </w:r>
      <w:proofErr w:type="spellEnd"/>
      <w:r w:rsidRPr="008F1391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8F1391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Рэйл</w:t>
      </w:r>
      <w:proofErr w:type="spellEnd"/>
    </w:p>
    <w:p w:rsidR="00B3463B" w:rsidRDefault="008F1391">
      <w:pPr>
        <w:rPr>
          <w:rFonts w:ascii="Times New Roman" w:hAnsi="Times New Roman" w:cs="Times New Roman"/>
          <w:sz w:val="28"/>
          <w:szCs w:val="28"/>
        </w:rPr>
      </w:pPr>
      <w:r w:rsidRPr="008F1391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Цель урока:</w:t>
      </w:r>
      <w:r w:rsidRPr="008F139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Изучить назначение и устройство электронной системы управления дизельным двигателем типа </w:t>
      </w:r>
      <w:proofErr w:type="spellStart"/>
      <w:r w:rsidRPr="008F139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Коммон</w:t>
      </w:r>
      <w:proofErr w:type="spellEnd"/>
      <w:r w:rsidRPr="008F139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8F139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Рэйл</w:t>
      </w:r>
      <w:proofErr w:type="spellEnd"/>
    </w:p>
    <w:p w:rsidR="00B3463B" w:rsidRDefault="00B3463B" w:rsidP="005C62F2">
      <w:pPr>
        <w:pStyle w:val="2"/>
        <w:rPr>
          <w:rFonts w:eastAsia="Times New Roman"/>
          <w:lang w:eastAsia="ru-RU"/>
        </w:rPr>
      </w:pPr>
      <w:r w:rsidRPr="00B3463B">
        <w:rPr>
          <w:rFonts w:eastAsia="Times New Roman"/>
          <w:lang w:eastAsia="ru-RU"/>
        </w:rPr>
        <w:t>УСТРОЙСТВО И ПРИНЦИП РАБОТЫ СИСТЕМЫ COMMON RAIL</w:t>
      </w:r>
    </w:p>
    <w:p w:rsidR="00B3463B" w:rsidRPr="00B3463B" w:rsidRDefault="00B3463B" w:rsidP="005C62F2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(аккумуляторная топливная система</w:t>
      </w:r>
      <w:r w:rsidR="005C62F2">
        <w:rPr>
          <w:rFonts w:eastAsia="Times New Roman"/>
          <w:lang w:eastAsia="ru-RU"/>
        </w:rPr>
        <w:t>)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>                                                      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Схема и детали системы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b/>
          <w:bCs/>
          <w:noProof/>
          <w:color w:val="5C5D61"/>
          <w:lang w:eastAsia="ru-RU"/>
        </w:rPr>
        <w:drawing>
          <wp:inline distT="0" distB="0" distL="0" distR="0" wp14:anchorId="6464D1F0" wp14:editId="0AD6C479">
            <wp:extent cx="5391150" cy="4286250"/>
            <wp:effectExtent l="0" t="0" r="0" b="0"/>
            <wp:docPr id="1" name="Рисунок 1" descr="32032780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20327806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noProof/>
          <w:color w:val="5C5D61"/>
          <w:lang w:eastAsia="ru-RU"/>
        </w:rPr>
        <w:drawing>
          <wp:inline distT="0" distB="0" distL="0" distR="0" wp14:anchorId="6C3C1917" wp14:editId="589B7DF7">
            <wp:extent cx="704850" cy="114300"/>
            <wp:effectExtent l="0" t="0" r="0" b="0"/>
            <wp:docPr id="2" name="Рисунок 2" descr="3202476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20247606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>  </w:t>
      </w:r>
      <w:r w:rsidRPr="00B3463B">
        <w:rPr>
          <w:rFonts w:ascii="Open Sans" w:eastAsia="Times New Roman" w:hAnsi="Open Sans" w:cs="Times New Roman"/>
          <w:i/>
          <w:iCs/>
          <w:color w:val="5C5D61"/>
          <w:lang w:eastAsia="ru-RU"/>
        </w:rPr>
        <w:t>Высокое давление 230-1800 бар.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i/>
          <w:iCs/>
          <w:noProof/>
          <w:color w:val="5C5D61"/>
          <w:lang w:eastAsia="ru-RU"/>
        </w:rPr>
        <w:drawing>
          <wp:inline distT="0" distB="0" distL="0" distR="0" wp14:anchorId="603C5B40" wp14:editId="06857D05">
            <wp:extent cx="704850" cy="114300"/>
            <wp:effectExtent l="0" t="0" r="0" b="0"/>
            <wp:docPr id="3" name="Рисунок 3" descr="3202478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0247806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3B">
        <w:rPr>
          <w:rFonts w:ascii="Open Sans" w:eastAsia="Times New Roman" w:hAnsi="Open Sans" w:cs="Times New Roman"/>
          <w:i/>
          <w:iCs/>
          <w:color w:val="5C5D61"/>
          <w:lang w:eastAsia="ru-RU"/>
        </w:rPr>
        <w:t xml:space="preserve">  Давление в обратной магистрали форсунок, 10 </w:t>
      </w:r>
      <w:proofErr w:type="spellStart"/>
      <w:r w:rsidRPr="00B3463B">
        <w:rPr>
          <w:rFonts w:ascii="Open Sans" w:eastAsia="Times New Roman" w:hAnsi="Open Sans" w:cs="Times New Roman"/>
          <w:i/>
          <w:iCs/>
          <w:color w:val="5C5D61"/>
          <w:lang w:eastAsia="ru-RU"/>
        </w:rPr>
        <w:t>bar</w:t>
      </w:r>
      <w:proofErr w:type="spellEnd"/>
      <w:r w:rsidRPr="00B3463B">
        <w:rPr>
          <w:rFonts w:ascii="Open Sans" w:eastAsia="Times New Roman" w:hAnsi="Open Sans" w:cs="Times New Roman"/>
          <w:i/>
          <w:iCs/>
          <w:color w:val="5C5D61"/>
          <w:lang w:eastAsia="ru-RU"/>
        </w:rPr>
        <w:t>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noProof/>
          <w:color w:val="5C5D61"/>
          <w:lang w:eastAsia="ru-RU"/>
        </w:rPr>
        <w:drawing>
          <wp:inline distT="0" distB="0" distL="0" distR="0" wp14:anchorId="4A19E954" wp14:editId="5F19246A">
            <wp:extent cx="704850" cy="114300"/>
            <wp:effectExtent l="0" t="0" r="0" b="0"/>
            <wp:docPr id="4" name="Рисунок 4" descr="3202480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20248006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>  </w:t>
      </w:r>
      <w:r w:rsidRPr="00B3463B">
        <w:rPr>
          <w:rFonts w:ascii="Open Sans" w:eastAsia="Times New Roman" w:hAnsi="Open Sans" w:cs="Times New Roman"/>
          <w:i/>
          <w:iCs/>
          <w:color w:val="5C5D61"/>
          <w:lang w:eastAsia="ru-RU"/>
        </w:rPr>
        <w:t>Давление в напорной магистрали, Давление в обратной магистрали.</w:t>
      </w:r>
    </w:p>
    <w:p w:rsidR="005C62F2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>1. 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Подкачивающий топливный насос.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Осуществляет постоянную подкачку топлива в напорную магистраль.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lastRenderedPageBreak/>
        <w:t>2. 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Топливный фильтр с клапаном предварительного подогрева.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Клапан предварительного подогрева препятствует при низких температурах окружающей среды засорению фильтра кристаллизующимися парафинами.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3. 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Дополнительный топливный насос.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Подаёт топливо из напорной магистрали к топливному насосу.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4. 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Сетчатый фильтр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>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Предохраняет насос высокого давления от попадания инородных частиц.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5. 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Датчик температуры топлива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>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Измеряет текущую температуру топлива.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6. 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Насос высокого давления (ТНВД).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Создаёт давление, необходимое для работы системы впрыска.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7. 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Клапан дозирования топлива.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Регулирует количество топлива, которое необходимо подать в аккумулятор высокого давления.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8. 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Регулятор давления топлива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>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Регулирует давление топлива в магистрали высокого давления.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9. 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Аккумулятор давления (топливная рампа).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> 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 xml:space="preserve">Накапливает под высоким давлением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топливо</w:t>
      </w:r>
      <w:proofErr w:type="gramStart"/>
      <w:r w:rsidRPr="00B3463B">
        <w:rPr>
          <w:rFonts w:ascii="Open Sans" w:eastAsia="Times New Roman" w:hAnsi="Open Sans" w:cs="Times New Roman"/>
          <w:color w:val="5C5D61"/>
          <w:lang w:eastAsia="ru-RU"/>
        </w:rPr>
        <w:t>,н</w:t>
      </w:r>
      <w:proofErr w:type="gramEnd"/>
      <w:r w:rsidRPr="00B3463B">
        <w:rPr>
          <w:rFonts w:ascii="Open Sans" w:eastAsia="Times New Roman" w:hAnsi="Open Sans" w:cs="Times New Roman"/>
          <w:color w:val="5C5D61"/>
          <w:lang w:eastAsia="ru-RU"/>
        </w:rPr>
        <w:t>еобходимое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для впрыска во все цилиндры.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10. 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Датчик давления топлива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>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Измеряет текущее давление топлива в магистрали высокого давления.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11. 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Редукционный клапан.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Поддерживает давление в обратной магистрали форсунок системы впрыска на уровне 10 бар. Такое давление необходимо для работы форсунок.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12. 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Форсунки.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 xml:space="preserve">                                       Система впрыска </w:t>
      </w:r>
      <w:proofErr w:type="spellStart"/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Common</w:t>
      </w:r>
      <w:proofErr w:type="spellEnd"/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 xml:space="preserve"> </w:t>
      </w:r>
      <w:proofErr w:type="spellStart"/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Rail</w:t>
      </w:r>
      <w:proofErr w:type="spellEnd"/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Система впрыска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Common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Rail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представляет систему впрыска топлива для дизельных двигателей с аккумулятором высокого давления. Термин «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Common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Rail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>» означает «общая балка или рампа» и служит для обозначения общей топливной рампы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(аккумулятора давления) для всех форсунок ряда цилиндров.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>В данной системе проце</w:t>
      </w:r>
      <w:proofErr w:type="gramStart"/>
      <w:r w:rsidRPr="00B3463B">
        <w:rPr>
          <w:rFonts w:ascii="Open Sans" w:eastAsia="Times New Roman" w:hAnsi="Open Sans" w:cs="Times New Roman"/>
          <w:color w:val="5C5D61"/>
          <w:lang w:eastAsia="ru-RU"/>
        </w:rPr>
        <w:t>сс впр</w:t>
      </w:r>
      <w:proofErr w:type="gramEnd"/>
      <w:r w:rsidRPr="00B3463B">
        <w:rPr>
          <w:rFonts w:ascii="Open Sans" w:eastAsia="Times New Roman" w:hAnsi="Open Sans" w:cs="Times New Roman"/>
          <w:color w:val="5C5D61"/>
          <w:lang w:eastAsia="ru-RU"/>
        </w:rPr>
        <w:t>ыска отделён от процесса создания высокого давления. Необходимое для системы впрыска высокое давление создаётся с помощью отдельного топливного насоса высокого давления (ТНВД).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proofErr w:type="gramStart"/>
      <w:r w:rsidRPr="00B3463B">
        <w:rPr>
          <w:rFonts w:ascii="Open Sans" w:eastAsia="Times New Roman" w:hAnsi="Open Sans" w:cs="Times New Roman"/>
          <w:color w:val="5C5D61"/>
          <w:lang w:eastAsia="ru-RU"/>
        </w:rPr>
        <w:t>Топливо,</w:t>
      </w:r>
      <w:r w:rsidR="005C62F2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находящееся под высоким давлением, накапливается</w:t>
      </w:r>
      <w:r w:rsidR="00D25C00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в аккумуляторе давления (топливной рампе)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 xml:space="preserve">и через короткие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топливопроводы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высокого давления подаётся к форсункам.</w:t>
      </w:r>
      <w:proofErr w:type="gramEnd"/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 xml:space="preserve">Управление системой впрыска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Common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Rail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осуществляется системой управления двигателя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Bosch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EDC.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 xml:space="preserve">Система впрыска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Common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Rail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располагает большими возможностями для регулирования давления и параметров впрыска в соответствии с режимом работы двигателя. Это создает хорошие предпосылки для удовлетворения постоянно растущих требований к системе впрыска в плане улучшения экономичности, снижения токсичности ОГ и шумности двигателя.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noProof/>
          <w:color w:val="5C5D61"/>
          <w:lang w:eastAsia="ru-RU"/>
        </w:rPr>
        <w:lastRenderedPageBreak/>
        <w:drawing>
          <wp:inline distT="0" distB="0" distL="0" distR="0" wp14:anchorId="3F45B722" wp14:editId="708F7428">
            <wp:extent cx="5276850" cy="4286250"/>
            <wp:effectExtent l="0" t="0" r="0" b="0"/>
            <wp:docPr id="6" name="Рисунок 6" descr="32030240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20302406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 xml:space="preserve">В данной системе впрыска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Common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Rail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используются пьезоэлектрические форсунки.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proofErr w:type="gramStart"/>
      <w:r w:rsidRPr="00B3463B">
        <w:rPr>
          <w:rFonts w:ascii="Open Sans" w:eastAsia="Times New Roman" w:hAnsi="Open Sans" w:cs="Times New Roman"/>
          <w:color w:val="5C5D61"/>
          <w:lang w:eastAsia="ru-RU"/>
        </w:rPr>
        <w:t>Управление</w:t>
      </w:r>
      <w:r w:rsidR="00D25C00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форсунками осуществляется</w:t>
      </w:r>
      <w:r w:rsidR="00D25C00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исполнительным механизмом, основанном на использовании</w:t>
      </w:r>
      <w:r w:rsidR="00D25C00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пьезоэлемента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>.</w:t>
      </w:r>
      <w:proofErr w:type="gram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Скорость переключения такого механизма во много раз выше, чем у форсунки с электромагнитным клапаном.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Кроме того, масса подвижной иглы у распылителя пьезоэлектрической форсунки примерно на 75 % меньше, чем у форсунки с электромагнитным приводом.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Это обеспечивает пьезоэлектрическим форсункам следующие преимущества: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* короткое время переключения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* возможность произвести несколько впрысков в течение рабочего такта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>* точность дозировки впрыска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noProof/>
          <w:color w:val="F47127"/>
          <w:bdr w:val="none" w:sz="0" w:space="0" w:color="auto" w:frame="1"/>
          <w:lang w:eastAsia="ru-RU"/>
        </w:rPr>
        <w:lastRenderedPageBreak/>
        <w:drawing>
          <wp:inline distT="0" distB="0" distL="0" distR="0" wp14:anchorId="4A681672" wp14:editId="1631ED42">
            <wp:extent cx="6943725" cy="8724900"/>
            <wp:effectExtent l="0" t="0" r="9525" b="0"/>
            <wp:docPr id="7" name="Рисунок 7" descr="injecto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jecto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00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                                </w:t>
      </w:r>
    </w:p>
    <w:p w:rsidR="00D25C00" w:rsidRDefault="00D25C00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</w:p>
    <w:p w:rsidR="00D25C00" w:rsidRDefault="00D25C00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</w:p>
    <w:p w:rsidR="00B3463B" w:rsidRPr="00B3463B" w:rsidRDefault="00D25C00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>
        <w:rPr>
          <w:rFonts w:ascii="Open Sans" w:eastAsia="Times New Roman" w:hAnsi="Open Sans" w:cs="Times New Roman"/>
          <w:color w:val="5C5D61"/>
          <w:lang w:eastAsia="ru-RU"/>
        </w:rPr>
        <w:lastRenderedPageBreak/>
        <w:t xml:space="preserve">                                       </w:t>
      </w:r>
      <w:r w:rsidR="00B3463B" w:rsidRPr="00B3463B">
        <w:rPr>
          <w:rFonts w:ascii="Open Sans" w:eastAsia="Times New Roman" w:hAnsi="Open Sans" w:cs="Times New Roman"/>
          <w:color w:val="5C5D61"/>
          <w:lang w:eastAsia="ru-RU"/>
        </w:rPr>
        <w:t>  </w:t>
      </w:r>
      <w:r w:rsidR="00B3463B"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 xml:space="preserve">Работа </w:t>
      </w:r>
      <w:proofErr w:type="spellStart"/>
      <w:r w:rsidR="00B3463B"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пьезофорсунки</w:t>
      </w:r>
      <w:proofErr w:type="spellEnd"/>
      <w:r>
        <w:rPr>
          <w:rFonts w:ascii="Open Sans" w:eastAsia="Times New Roman" w:hAnsi="Open Sans" w:cs="Times New Roman"/>
          <w:b/>
          <w:bCs/>
          <w:color w:val="5C5D61"/>
          <w:lang w:eastAsia="ru-RU"/>
        </w:rPr>
        <w:t xml:space="preserve"> </w:t>
      </w:r>
      <w:r w:rsidR="00B3463B"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 xml:space="preserve"> </w:t>
      </w:r>
      <w:proofErr w:type="spellStart"/>
      <w:r w:rsidR="00B3463B"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Common</w:t>
      </w:r>
      <w:proofErr w:type="spellEnd"/>
      <w:r w:rsidR="00B3463B"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 xml:space="preserve"> </w:t>
      </w:r>
      <w:proofErr w:type="spellStart"/>
      <w:r w:rsidR="00B3463B"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Rail</w:t>
      </w:r>
      <w:proofErr w:type="spellEnd"/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> 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>                                                 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Проце</w:t>
      </w:r>
      <w:proofErr w:type="gramStart"/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сс впр</w:t>
      </w:r>
      <w:proofErr w:type="gramEnd"/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ыска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 xml:space="preserve">Высокая скорость переключения пьезоэлектрической форсунки позволяет гибко и с высокой точностью управлять фазами впрыска и дозировать подачу топлива. Благодаря этому управление процессом впрыска топлива </w:t>
      </w:r>
      <w:proofErr w:type="gramStart"/>
      <w:r w:rsidRPr="00B3463B">
        <w:rPr>
          <w:rFonts w:ascii="Open Sans" w:eastAsia="Times New Roman" w:hAnsi="Open Sans" w:cs="Times New Roman"/>
          <w:color w:val="5C5D61"/>
          <w:lang w:eastAsia="ru-RU"/>
        </w:rPr>
        <w:t>может</w:t>
      </w:r>
      <w:proofErr w:type="gram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осуществляется в точном соответствии с потребностью двигателя в определённый момент времени. За время такта может быть произведено до пяти отдельных впрысков.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>                                                            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  ТНВД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  <w:t xml:space="preserve">Насос высокого давления представляет собой одноплунжерный насос. Привод насоса осуществляется через зубчатый ремень </w:t>
      </w:r>
      <w:proofErr w:type="spellStart"/>
      <w:r w:rsidRPr="00B3463B">
        <w:rPr>
          <w:rFonts w:ascii="Open Sans" w:eastAsia="Times New Roman" w:hAnsi="Open Sans" w:cs="Times New Roman"/>
          <w:color w:val="5C5D61"/>
          <w:lang w:eastAsia="ru-RU"/>
        </w:rPr>
        <w:t>коленвала</w:t>
      </w:r>
      <w:proofErr w:type="spellEnd"/>
      <w:r w:rsidRPr="00B3463B">
        <w:rPr>
          <w:rFonts w:ascii="Open Sans" w:eastAsia="Times New Roman" w:hAnsi="Open Sans" w:cs="Times New Roman"/>
          <w:color w:val="5C5D61"/>
          <w:lang w:eastAsia="ru-RU"/>
        </w:rPr>
        <w:t xml:space="preserve"> с частотой, равной частоте оборотов двигателя. ТНВД предназначен для создания в топливной магистрали давления до 1800 бар, необходимого для работы системы впрыска. С помощью двух кулачков, развёрнутых на приводном вале на 180°, скачок давления формируется синхронно с впрыском во время рабочего такта конкретного цилиндра. Это обеспечивает равномерную нагрузку привода насоса и снижает колебания давления в области высокого давления.</w:t>
      </w:r>
      <w:r w:rsidRPr="00B3463B">
        <w:rPr>
          <w:rFonts w:ascii="Open Sans" w:eastAsia="Times New Roman" w:hAnsi="Open Sans" w:cs="Times New Roman"/>
          <w:color w:val="5C5D61"/>
          <w:lang w:eastAsia="ru-RU"/>
        </w:rPr>
        <w:br/>
      </w:r>
      <w:proofErr w:type="gramStart"/>
      <w:r w:rsidRPr="00B3463B">
        <w:rPr>
          <w:rFonts w:ascii="Open Sans" w:eastAsia="Times New Roman" w:hAnsi="Open Sans" w:cs="Times New Roman"/>
          <w:color w:val="5C5D61"/>
          <w:lang w:eastAsia="ru-RU"/>
        </w:rPr>
        <w:t>Для снижения трения при передаче усилия от приводных кулачков к плунжеру насоса между ними установлен ролик</w:t>
      </w:r>
      <w:proofErr w:type="gramEnd"/>
      <w:r w:rsidRPr="00B3463B">
        <w:rPr>
          <w:rFonts w:ascii="Open Sans" w:eastAsia="Times New Roman" w:hAnsi="Open Sans" w:cs="Times New Roman"/>
          <w:color w:val="5C5D61"/>
          <w:lang w:eastAsia="ru-RU"/>
        </w:rPr>
        <w:t>.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color w:val="5C5D61"/>
          <w:lang w:eastAsia="ru-RU"/>
        </w:rPr>
        <w:t>                                   </w:t>
      </w: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t>Устройство насоса высокого давления</w:t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b/>
          <w:bCs/>
          <w:noProof/>
          <w:color w:val="F47127"/>
          <w:bdr w:val="none" w:sz="0" w:space="0" w:color="auto" w:frame="1"/>
          <w:lang w:eastAsia="ru-RU"/>
        </w:rPr>
        <w:drawing>
          <wp:inline distT="0" distB="0" distL="0" distR="0" wp14:anchorId="5F14A5DE" wp14:editId="362C27C4">
            <wp:extent cx="6229350" cy="5638800"/>
            <wp:effectExtent l="0" t="0" r="0" b="0"/>
            <wp:docPr id="9" name="Рисунок 9" descr="tnv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nv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3B" w:rsidRPr="00B3463B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b/>
          <w:bCs/>
          <w:color w:val="5C5D61"/>
          <w:lang w:eastAsia="ru-RU"/>
        </w:rPr>
        <w:lastRenderedPageBreak/>
        <w:t>Схематическое представление насоса высокого давления.</w:t>
      </w:r>
    </w:p>
    <w:p w:rsidR="002A433F" w:rsidRDefault="00B3463B" w:rsidP="00B34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C5D61"/>
          <w:lang w:eastAsia="ru-RU"/>
        </w:rPr>
      </w:pPr>
      <w:r w:rsidRPr="00B3463B">
        <w:rPr>
          <w:rFonts w:ascii="Open Sans" w:eastAsia="Times New Roman" w:hAnsi="Open Sans" w:cs="Times New Roman"/>
          <w:b/>
          <w:bCs/>
          <w:noProof/>
          <w:color w:val="F47127"/>
          <w:bdr w:val="none" w:sz="0" w:space="0" w:color="auto" w:frame="1"/>
          <w:lang w:eastAsia="ru-RU"/>
        </w:rPr>
        <w:drawing>
          <wp:inline distT="0" distB="0" distL="0" distR="0" wp14:anchorId="56FE562E" wp14:editId="763D0397">
            <wp:extent cx="6334125" cy="5172075"/>
            <wp:effectExtent l="0" t="0" r="9525" b="9525"/>
            <wp:docPr id="10" name="Рисунок 10" descr="tnvd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nvd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3F" w:rsidRPr="002A433F" w:rsidRDefault="002A433F" w:rsidP="002A433F">
      <w:pPr>
        <w:rPr>
          <w:rFonts w:ascii="Open Sans" w:eastAsia="Times New Roman" w:hAnsi="Open Sans" w:cs="Times New Roman"/>
          <w:lang w:eastAsia="ru-RU"/>
        </w:rPr>
      </w:pPr>
    </w:p>
    <w:p w:rsidR="002A433F" w:rsidRPr="002A433F" w:rsidRDefault="002A433F" w:rsidP="002A433F">
      <w:pPr>
        <w:rPr>
          <w:rFonts w:ascii="Open Sans" w:eastAsia="Times New Roman" w:hAnsi="Open Sans" w:cs="Times New Roman"/>
          <w:lang w:eastAsia="ru-RU"/>
        </w:rPr>
      </w:pPr>
    </w:p>
    <w:p w:rsidR="002A433F" w:rsidRPr="002A433F" w:rsidRDefault="002A433F" w:rsidP="002A433F">
      <w:pPr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rPr>
          <w:rFonts w:ascii="Open Sans" w:eastAsia="Times New Roman" w:hAnsi="Open Sans" w:cs="Times New Roman"/>
          <w:lang w:eastAsia="ru-RU"/>
        </w:rPr>
      </w:pPr>
    </w:p>
    <w:p w:rsidR="00B3463B" w:rsidRDefault="00B3463B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Default="002A433F" w:rsidP="002A433F">
      <w:pPr>
        <w:ind w:firstLine="708"/>
        <w:rPr>
          <w:rFonts w:ascii="Open Sans" w:eastAsia="Times New Roman" w:hAnsi="Open Sans" w:cs="Times New Roman"/>
          <w:lang w:eastAsia="ru-RU"/>
        </w:rPr>
      </w:pPr>
    </w:p>
    <w:p w:rsidR="002A433F" w:rsidRPr="002A433F" w:rsidRDefault="002A433F" w:rsidP="002A433F">
      <w:pPr>
        <w:ind w:firstLine="708"/>
        <w:rPr>
          <w:rFonts w:ascii="Open Sans" w:eastAsia="Times New Roman" w:hAnsi="Open Sans" w:cs="Times New Roman"/>
          <w:b/>
          <w:sz w:val="32"/>
          <w:szCs w:val="32"/>
          <w:lang w:eastAsia="ru-RU"/>
        </w:rPr>
      </w:pPr>
      <w:r w:rsidRPr="002A433F">
        <w:rPr>
          <w:rFonts w:ascii="Open Sans" w:eastAsia="Times New Roman" w:hAnsi="Open Sans" w:cs="Times New Roman"/>
          <w:b/>
          <w:sz w:val="32"/>
          <w:szCs w:val="32"/>
          <w:lang w:eastAsia="ru-RU"/>
        </w:rPr>
        <w:lastRenderedPageBreak/>
        <w:t>Контрольные вопросы:</w:t>
      </w:r>
      <w:r w:rsidRPr="002A433F">
        <w:rPr>
          <w:noProof/>
          <w:lang w:eastAsia="ru-RU"/>
        </w:rPr>
        <w:t xml:space="preserve"> </w:t>
      </w:r>
      <w:r>
        <w:rPr>
          <w:noProof/>
          <w:lang w:eastAsia="ru-RU"/>
        </w:rPr>
        <w:t>(пришлите ответы)</w:t>
      </w:r>
      <w:r>
        <w:rPr>
          <w:noProof/>
          <w:lang w:eastAsia="ru-RU"/>
        </w:rPr>
        <w:drawing>
          <wp:inline distT="0" distB="0" distL="0" distR="0" wp14:anchorId="42D61733" wp14:editId="2A44CA75">
            <wp:extent cx="5940425" cy="4455319"/>
            <wp:effectExtent l="0" t="0" r="3175" b="2540"/>
            <wp:docPr id="11" name="Рисунок 11" descr="https://mypresentation.ru/documents_6/5931acb5b8c1da9bedd95789ac3884c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5931acb5b8c1da9bedd95789ac3884c4/img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CD" w:rsidRDefault="008F07CD" w:rsidP="00B3463B">
      <w:pPr>
        <w:rPr>
          <w:rFonts w:ascii="Times New Roman" w:hAnsi="Times New Roman" w:cs="Times New Roman"/>
          <w:sz w:val="28"/>
          <w:szCs w:val="28"/>
        </w:rPr>
      </w:pPr>
    </w:p>
    <w:p w:rsidR="008F07CD" w:rsidRDefault="008F07CD" w:rsidP="008F07CD">
      <w:pPr>
        <w:rPr>
          <w:rFonts w:ascii="Times New Roman" w:hAnsi="Times New Roman" w:cs="Times New Roman"/>
          <w:sz w:val="28"/>
          <w:szCs w:val="28"/>
        </w:rPr>
      </w:pPr>
    </w:p>
    <w:p w:rsidR="009141CE" w:rsidRPr="008F07CD" w:rsidRDefault="008F07CD" w:rsidP="008F07C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F910D0E" wp14:editId="292AC260">
            <wp:extent cx="5940425" cy="4455319"/>
            <wp:effectExtent l="0" t="0" r="3175" b="2540"/>
            <wp:docPr id="13" name="Рисунок 13" descr="https://mypresentation.ru/documents_6/5931acb5b8c1da9bedd95789ac3884c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presentation.ru/documents_6/5931acb5b8c1da9bedd95789ac3884c4/img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07EE6976" wp14:editId="5202E8C3">
            <wp:extent cx="5940425" cy="4455319"/>
            <wp:effectExtent l="0" t="0" r="3175" b="2540"/>
            <wp:docPr id="14" name="Рисунок 14" descr="https://mypresentation.ru/documents_6/5931acb5b8c1da9bedd95789ac3884c4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presentation.ru/documents_6/5931acb5b8c1da9bedd95789ac3884c4/img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FC103E" wp14:editId="0807FABC">
            <wp:extent cx="5940425" cy="4455319"/>
            <wp:effectExtent l="0" t="0" r="3175" b="2540"/>
            <wp:docPr id="12" name="Рисунок 12" descr="https://mypresentation.ru/documents_6/5931acb5b8c1da9bedd95789ac3884c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_6/5931acb5b8c1da9bedd95789ac3884c4/img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1CE" w:rsidRPr="008F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7A" w:rsidRDefault="00351E7A" w:rsidP="002A433F">
      <w:pPr>
        <w:spacing w:after="0" w:line="240" w:lineRule="auto"/>
      </w:pPr>
      <w:r>
        <w:separator/>
      </w:r>
    </w:p>
  </w:endnote>
  <w:endnote w:type="continuationSeparator" w:id="0">
    <w:p w:rsidR="00351E7A" w:rsidRDefault="00351E7A" w:rsidP="002A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7A" w:rsidRDefault="00351E7A" w:rsidP="002A433F">
      <w:pPr>
        <w:spacing w:after="0" w:line="240" w:lineRule="auto"/>
      </w:pPr>
      <w:r>
        <w:separator/>
      </w:r>
    </w:p>
  </w:footnote>
  <w:footnote w:type="continuationSeparator" w:id="0">
    <w:p w:rsidR="00351E7A" w:rsidRDefault="00351E7A" w:rsidP="002A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9"/>
    <w:rsid w:val="002A433F"/>
    <w:rsid w:val="00351E7A"/>
    <w:rsid w:val="005C62F2"/>
    <w:rsid w:val="00847F59"/>
    <w:rsid w:val="008F07CD"/>
    <w:rsid w:val="008F1391"/>
    <w:rsid w:val="009141CE"/>
    <w:rsid w:val="00B3463B"/>
    <w:rsid w:val="00D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33F"/>
  </w:style>
  <w:style w:type="paragraph" w:styleId="a8">
    <w:name w:val="footer"/>
    <w:basedOn w:val="a"/>
    <w:link w:val="a9"/>
    <w:uiPriority w:val="99"/>
    <w:unhideWhenUsed/>
    <w:rsid w:val="002A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33F"/>
  </w:style>
  <w:style w:type="paragraph" w:styleId="a8">
    <w:name w:val="footer"/>
    <w:basedOn w:val="a"/>
    <w:link w:val="a9"/>
    <w:uiPriority w:val="99"/>
    <w:unhideWhenUsed/>
    <w:rsid w:val="002A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et-avto.ru/d/300775/d/injector.jpg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zet-avto.ru/d/300775/d/tnvd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et-avto.ru/d/300775/d/tnvd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5EE8-34A0-44FC-96E7-2A5A3EF2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kab317</dc:creator>
  <cp:keywords/>
  <dc:description/>
  <cp:lastModifiedBy>kab317</cp:lastModifiedBy>
  <cp:revision>2</cp:revision>
  <dcterms:created xsi:type="dcterms:W3CDTF">2020-03-27T19:37:00Z</dcterms:created>
  <dcterms:modified xsi:type="dcterms:W3CDTF">2020-03-27T20:40:00Z</dcterms:modified>
</cp:coreProperties>
</file>