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BC" w:rsidRDefault="004B7466" w:rsidP="004F1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4F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.04.2020г</w:t>
      </w:r>
    </w:p>
    <w:p w:rsidR="004F18BC" w:rsidRPr="008D5E5E" w:rsidRDefault="004F18BC" w:rsidP="004F1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23.02.03 Техническое обслуживание и ремонт автомобильного транспорта</w:t>
      </w:r>
    </w:p>
    <w:p w:rsidR="004F18BC" w:rsidRPr="008D5E5E" w:rsidRDefault="004F18BC" w:rsidP="004F1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2,  групп</w:t>
      </w:r>
      <w:proofErr w:type="gramStart"/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   ТМ</w:t>
      </w: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</w:p>
    <w:p w:rsidR="004F18BC" w:rsidRPr="008D5E5E" w:rsidRDefault="004F18BC" w:rsidP="004F1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(МДК)   Техническая механика</w:t>
      </w:r>
    </w:p>
    <w:p w:rsidR="004F18BC" w:rsidRDefault="004F18BC" w:rsidP="004F1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   Исаева Г.В.</w:t>
      </w:r>
    </w:p>
    <w:p w:rsidR="004F18BC" w:rsidRDefault="004F18BC" w:rsidP="004F1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8BC" w:rsidRPr="00761250" w:rsidRDefault="0076125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61250">
        <w:rPr>
          <w:rFonts w:ascii="Times New Roman" w:eastAsia="Calibri" w:hAnsi="Times New Roman" w:cs="Times New Roman"/>
          <w:b/>
          <w:sz w:val="28"/>
          <w:szCs w:val="28"/>
        </w:rPr>
        <w:t>Тема 3.3.Фрикционные передачи</w:t>
      </w:r>
    </w:p>
    <w:p w:rsidR="00761250" w:rsidRPr="00761250" w:rsidRDefault="00761250" w:rsidP="0076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 </w:t>
      </w:r>
    </w:p>
    <w:p w:rsidR="00761250" w:rsidRPr="00761250" w:rsidRDefault="00761250" w:rsidP="0076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Основные понятия. Классификация, достоинства и недостатки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Фрикционная передача</w:t>
      </w:r>
      <w:r w:rsidRPr="007612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— механическая передача, служащая для пере</w:t>
      </w:r>
      <w:r w:rsidRPr="007612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дачи вращательного движения </w:t>
      </w:r>
      <w:r w:rsidRPr="007612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между валами с помощью сил трения, возникающих </w:t>
      </w:r>
      <w:r w:rsidRPr="00761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между катками, при</w:t>
      </w:r>
      <w:r w:rsidRPr="00761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жимаемыми один к другому.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Фрикционные передачи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состоят из двух катков (рис.</w:t>
      </w:r>
      <w:r w:rsidR="006E61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): ведущего 1 и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ведомого 2, которые прижимаются один к другому силой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219075"/>
            <wp:effectExtent l="0" t="0" r="9525" b="9525"/>
            <wp:docPr id="58" name="Рисунок 58" descr="http://www.teormach.ru/lect9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teormach.ru/lect9.files/image1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рисунке — </w:t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пружиной), так что сила трения </w:t>
      </w:r>
      <w:r w:rsidRPr="00761250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59" name="Рисунок 59" descr="http://www.teormach.ru/lect9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teormach.ru/lect9.files/image12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 месте контакта катков достаточна для передаваемой окружной силы </w:t>
      </w:r>
      <w:r w:rsidRPr="00761250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0" t="0" r="9525" b="0"/>
            <wp:docPr id="60" name="Рисунок 60" descr="http://www.teor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teor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905000"/>
            <wp:effectExtent l="0" t="0" r="0" b="0"/>
            <wp:docPr id="61" name="Рисунок 61" descr="http://www.teormach.ru/lect9.files/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teormach.ru/lect9.files/image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Рис</w:t>
      </w:r>
      <w:r w:rsidRPr="007612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. </w:t>
      </w:r>
      <w:r w:rsidR="006E61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1 </w:t>
      </w:r>
      <w:r w:rsidRPr="007612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Цилиндрическая фрикционная передача: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— ведущий каток; 2 — ведомый каток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Условие работоспособности передачи: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238125"/>
            <wp:effectExtent l="0" t="0" r="0" b="9525"/>
            <wp:docPr id="62" name="Рисунок 62" descr="http://www.teormach.ru/lect9.file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teormach.ru/lect9.files/image12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Pr="007612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(1)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Нарушение условия (1) приводит к буксованию и быстрому износу катков.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передать заданное окружное усилие </w:t>
      </w:r>
      <w:r w:rsidRPr="00761250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0" t="0" r="9525" b="0"/>
            <wp:docPr id="63" name="Рисунок 63" descr="http://www.teor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teor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фрикционные катки надо прижать друг к другу усилием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219075"/>
            <wp:effectExtent l="0" t="0" r="9525" b="9525"/>
            <wp:docPr id="64" name="Рисунок 64" descr="http://www.teormach.ru/lect9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teormach.ru/lect9.files/image1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чтобы возникающая при этом сила трения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9525"/>
            <wp:docPr id="65" name="Рисунок 65" descr="http://www.teormach.ru/lect9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teormach.ru/lect9.files/image13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бы больше силы </w:t>
      </w:r>
      <w:r w:rsidRPr="00761250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0" t="0" r="9525" b="0"/>
            <wp:docPr id="66" name="Рисунок 66" descr="http://www.teor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teor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величину коэффициента запаса сцепления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67" name="Рисунок 67" descr="http://www.teormach.ru/lect9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teormach.ru/lect9.files/image13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  принимают равным 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68" name="Рисунок 68" descr="http://www.teormach.ru/lect9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teormach.ru/lect9.files/image13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1,25...2,0.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Подставив эти значения в уравнение, можно убедиться в том, что усилие прижатия фрикционных катков во много раз превышает передаваемое окружное усилие.</w:t>
      </w:r>
    </w:p>
    <w:p w:rsidR="00761250" w:rsidRPr="00761250" w:rsidRDefault="00761250" w:rsidP="002E1E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Фрикционные передачи классифицируют по следующим признакам: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назначению: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нерегулируемым переда</w:t>
      </w:r>
      <w:r w:rsidR="002E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точным числом (рис.1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 </w:t>
      </w:r>
      <w:r w:rsidR="002E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бесступенчатым (плавным) регулированием передаточного числа  (вариа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торы).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5875" cy="1619250"/>
            <wp:effectExtent l="0" t="0" r="9525" b="0"/>
            <wp:docPr id="70" name="Рисунок 70" descr="http://www.teormach.ru/lect9.files/image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teormach.ru/lect9.files/image1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50" w:rsidRPr="00761250" w:rsidRDefault="006E61D1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Рис.</w:t>
      </w:r>
      <w:r w:rsidR="002E1EC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2</w:t>
      </w:r>
      <w:r w:rsidR="00761250" w:rsidRPr="0076125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. Коническая фрикционная </w:t>
      </w:r>
      <w:r w:rsidR="00761250" w:rsidRPr="007612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передача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 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2.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взаимному расположению осей валов: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 </w:t>
      </w:r>
      <w:proofErr w:type="gramStart"/>
      <w:r w:rsidRPr="007612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цилиндрические</w:t>
      </w:r>
      <w:proofErr w:type="gramEnd"/>
      <w:r w:rsidRPr="007612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  <w:r w:rsidR="002E1E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параллельными осями (рис.1</w:t>
      </w:r>
      <w:r w:rsidRPr="007612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 конические </w:t>
      </w:r>
      <w:r w:rsidR="006E61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 пересекающимися осями (рис.</w:t>
      </w:r>
      <w:r w:rsidR="002E1E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Pr="007612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3.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зависимости от условий работы: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открытые (работают всухую);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 закрытые (работают в масляной ванне).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открытых фрикционных передачах коэффициент трения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71" name="Рисунок 71" descr="http://www.teormach.ru/lect9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teormach.ru/lect9.files/image13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выше, прижимное усилие катков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меньше. В закрытых фрикционных передачах масляная ванна обеспечивает хороший отвод тепла, делает скольжение менее опасным, увеличивает долговечность передачи.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Достоинства</w:t>
      </w:r>
      <w:r w:rsidRPr="0076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фрикционных передач: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простота конструкции и обслуживания;</w:t>
      </w:r>
    </w:p>
    <w:p w:rsidR="00761250" w:rsidRPr="00761250" w:rsidRDefault="002E1EC9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250"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плавность передачи движения и регулирования скорости и бесшумность работы;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большие кинематические возможности (бесступенчатое изменение скоро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включение и выключение передачи на ходу без остановки);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счет возможностей пробуксовки передача обладает предохрани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тельными свойствами. По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этому использовать пробуксовку как предохранительное средство не рекомендуется;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равномерность вращения, что удобно для приборов;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бесступенчатого регулирования передаточного числа, причем на ходу, без остановки передачи.</w:t>
      </w:r>
    </w:p>
    <w:p w:rsidR="00761250" w:rsidRPr="00761250" w:rsidRDefault="00761250" w:rsidP="002E1E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Недостатки фрикционных передач: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непостоянство передаточного числа из-за проскальзывания;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незначительная передаваемая мощность (открытые передачи - до 10-20 кВт; закрытые - до 200-300 кВт);  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открытых передач сравнительно низкий КПД;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большие нагрузки на валы и подшипники от прижимной силы</w:t>
      </w:r>
      <w:proofErr w:type="gramStart"/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недостаток ограничивает величину передаваемой мощности;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большие потери на трение.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Применение.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Фрикционные передачи с нерегулируемым передаточным числом в машиностроении применяются сравнительно редко, например, во фрикционных прессах, молотах, лебедках, буровой технике и т.п.). В качестве силовых передач они громоздки и малонадежны. Эти передачи применяются преимущественно в приборах, где требуется плавность и бесшумность работы (магнитофоны, проигрыва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тели, спидометры и т. п</w:t>
      </w:r>
      <w:proofErr w:type="gramStart"/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.).. </w:t>
      </w:r>
      <w:proofErr w:type="gramEnd"/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широко применяют реверсивные фрикционные передачи винтовых прессов, передачи колесо — рельс и колесо — дорожное полотно самоходного транспорта. Фрикционные передачи предназначены для мощностей, не превышающих 20 кВт, окружная скорость катков допускается до 25 м/с.</w:t>
      </w:r>
    </w:p>
    <w:p w:rsidR="00761250" w:rsidRPr="00761250" w:rsidRDefault="00761250" w:rsidP="0076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250" w:rsidRPr="00761250" w:rsidRDefault="00761250" w:rsidP="00761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Геометрические параметры, кинематические и силовые </w:t>
      </w: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соотношения во фрикционных передачах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Основные геометрические параметры фрикционной передачи: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диаметры ведущего и ведомого катков;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а </w:t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 межосевое расстояние;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12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 w:eastAsia="ru-RU"/>
        </w:rPr>
        <w:t>b</w:t>
      </w:r>
      <w:proofErr w:type="gramEnd"/>
      <w:r w:rsidRPr="007612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 ширина катка;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12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 w:eastAsia="ru-RU"/>
        </w:rPr>
        <w:t>d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  <w:lang w:eastAsia="ru-RU"/>
        </w:rPr>
        <w:t>1</w:t>
      </w:r>
      <w:proofErr w:type="gramEnd"/>
      <w:r w:rsidRPr="007612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 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 w:eastAsia="ru-RU"/>
        </w:rPr>
        <w:t>d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  <w:lang w:eastAsia="ru-RU"/>
        </w:rPr>
        <w:t>2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 диаметры валов в</w:t>
      </w:r>
      <w:r w:rsidR="00071F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едущего и ведомого катков (рис.3</w:t>
      </w:r>
      <w:r w:rsidRPr="007612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609725"/>
            <wp:effectExtent l="0" t="0" r="0" b="9525"/>
            <wp:docPr id="74" name="Рисунок 74" descr="http://www.teormach.ru/lect9.files/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eormach.ru/lect9.files/image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50" w:rsidRPr="00761250" w:rsidRDefault="006E61D1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71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61250" w:rsidRPr="0076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Геометрические параметры фрикционных передач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Передаточное число.</w:t>
      </w:r>
    </w:p>
    <w:p w:rsidR="00071F08" w:rsidRDefault="00071F08" w:rsidP="00071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0" t="0" r="9525" b="9525"/>
            <wp:docPr id="2" name="Рисунок 2" descr="http://www.teormach.ru/lect9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teormach.ru/lect9.files/image15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передаточное число.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pacing w:val="11"/>
          <w:sz w:val="28"/>
          <w:szCs w:val="28"/>
          <w:lang w:eastAsia="ru-RU"/>
        </w:rPr>
        <w:drawing>
          <wp:inline distT="0" distB="0" distL="0" distR="0">
            <wp:extent cx="1219200" cy="219075"/>
            <wp:effectExtent l="0" t="0" r="0" b="9525"/>
            <wp:docPr id="80" name="Рисунок 80" descr="http://www.teormach.ru/lect9.file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teormach.ru/lect9.files/image15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передачи движения между валами с пересекающимися осями используют коническую фрикционную передачу. Угол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52400"/>
            <wp:effectExtent l="0" t="0" r="9525" b="0"/>
            <wp:docPr id="87" name="Рисунок 87" descr="http://www.teormach.ru/lect9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teormach.ru/lect9.files/image17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осями валов обычно составляет 90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 </w:t>
      </w: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передаточное отношение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 учета скольжения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0" cy="209550"/>
            <wp:effectExtent l="0" t="0" r="0" b="0"/>
            <wp:docPr id="88" name="Рисунок 88" descr="http://www.teormach.ru/lect9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teormach.ru/lect9.files/image17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250" w:rsidRPr="00761250" w:rsidRDefault="00761250" w:rsidP="00761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Цилиндрическая фрикционная передача. Устройство, основные геометрические и силовые соотношения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Фрикционную передачу с параллельными осями валов и с рабочими по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верхностями цилиндрической формы 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называют </w:t>
      </w: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цилиндрической</w:t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Простейшая фрикционная передача с гладкими катками и постоянным переда</w:t>
      </w:r>
      <w:r w:rsidR="0007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точным числом показана на рис.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2575" cy="409575"/>
            <wp:effectExtent l="0" t="0" r="9525" b="9525"/>
            <wp:docPr id="97" name="Рисунок 97" descr="http://www.teormach.ru/lect9.files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teormach.ru/lect9.files/image19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  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 ведущего катка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390525"/>
            <wp:effectExtent l="0" t="0" r="9525" b="9525"/>
            <wp:docPr id="98" name="Рисунок 98" descr="http://www.teormach.ru/lect9.files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teormach.ru/lect9.files/image19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    </w:t>
      </w:r>
    </w:p>
    <w:p w:rsidR="00761250" w:rsidRPr="00761250" w:rsidRDefault="00071F08" w:rsidP="00071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250"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 ведомого катка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5375" cy="390525"/>
            <wp:effectExtent l="0" t="0" r="9525" b="9525"/>
            <wp:docPr id="99" name="Рисунок 99" descr="http://www.teormach.ru/lect9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teormach.ru/lect9.files/image19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                  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ширина обода катка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0" t="0" r="0" b="0"/>
            <wp:docPr id="100" name="Рисунок 100" descr="http://www.teormach.ru/lect9.files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teormach.ru/lect9.files/image19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                                                    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101" name="Рисунок 101" descr="http://www.teormach.ru/lect9.files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teormach.ru/lect9.files/image19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0,2 - 0,4 — коэффициент ширины обода катка по межосевому рас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стоянию.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250" w:rsidRPr="00761250" w:rsidRDefault="00761250" w:rsidP="00071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Силы в передаче.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работоспособности фрикционных передач необх</w:t>
      </w:r>
      <w:r w:rsidR="006E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="006E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прижать катки (</w:t>
      </w:r>
      <w:proofErr w:type="gramStart"/>
      <w:r w:rsidR="006E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="006E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рис.</w:t>
      </w:r>
      <w:r w:rsidR="0007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силой нажатия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219075"/>
            <wp:effectExtent l="0" t="0" r="9525" b="9525"/>
            <wp:docPr id="103" name="Рисунок 103" descr="http://www.teormach.ru/lect9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teormach.ru/lect9.files/image1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чтобы со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блюдалось условие (1), т. е.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5825" cy="238125"/>
            <wp:effectExtent l="0" t="0" r="9525" b="9525"/>
            <wp:docPr id="104" name="Рисунок 104" descr="http://www.teormach.ru/lect9.files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teormach.ru/lect9.files/image20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9525"/>
            <wp:docPr id="105" name="Рисунок 105" descr="http://www.teormach.ru/lect9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teormach.ru/lect9.files/image13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сила трения;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0" t="0" r="9525" b="0"/>
            <wp:docPr id="106" name="Рисунок 106" descr="http://www.teor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teor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передаваемая окружная сила;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107" name="Рисунок 107" descr="http://www.teormach.ru/lect9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teormach.ru/lect9.files/image13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коэффициент трения (выбирается по табл.1). Отсюда сила нажатия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228600"/>
            <wp:effectExtent l="0" t="0" r="9525" b="0"/>
            <wp:docPr id="108" name="Рисунок 108" descr="http://www.teormach.ru/lect9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eormach.ru/lect9.files/image20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419100"/>
            <wp:effectExtent l="0" t="0" r="9525" b="0"/>
            <wp:docPr id="109" name="Рисунок 109" descr="http://www.teormach.ru/lect9.files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teormach.ru/lect9.files/image20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                                                   (2)</w:t>
      </w:r>
    </w:p>
    <w:p w:rsidR="00D22303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10" name="Рисунок 110" descr="http://www.teormach.ru/lect9.files/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teormach.ru/lect9.files/image21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запаса сцепления; </w:t>
      </w: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11" name="Рисунок 111" descr="http://www.teormach.ru/lect9.files/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teormach.ru/lect9.files/image21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1,25 - 1,5</w:t>
      </w:r>
    </w:p>
    <w:p w:rsidR="00761250" w:rsidRPr="00761250" w:rsidRDefault="004B5DA2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схеме, показанной на рис.</w:t>
      </w:r>
      <w:r w:rsidR="00D2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1250"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28725" cy="428625"/>
            <wp:effectExtent l="0" t="0" r="9525" b="9525"/>
            <wp:docPr id="113" name="Рисунок 113" descr="http://www.teormach.ru/lect9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teormach.ru/lect9.files/image21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</w:t>
      </w:r>
      <w:r w:rsidR="00D2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Т </w:t>
      </w:r>
      <w:proofErr w:type="gramStart"/>
      <w:r w:rsidR="00D2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="00D2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момент на валу</w:t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(3)</w:t>
      </w:r>
    </w:p>
    <w:p w:rsidR="00761250" w:rsidRPr="00761250" w:rsidRDefault="00761250" w:rsidP="007612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Подставив формулу (3) в формулу (2), определим силу нажатия</w:t>
      </w:r>
    </w:p>
    <w:p w:rsidR="00761250" w:rsidRP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57275" cy="419100"/>
            <wp:effectExtent l="0" t="0" r="9525" b="0"/>
            <wp:docPr id="114" name="Рисунок 114" descr="http://www.teormach.ru/lect9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teormach.ru/lect9.files/image216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                   </w:t>
      </w:r>
    </w:p>
    <w:p w:rsidR="00761250" w:rsidRDefault="00761250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546" w:type="pct"/>
        <w:jc w:val="center"/>
        <w:tblCellSpacing w:w="7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7"/>
        <w:gridCol w:w="9667"/>
        <w:gridCol w:w="163"/>
        <w:gridCol w:w="134"/>
      </w:tblGrid>
      <w:tr w:rsidR="000D2C22" w:rsidRPr="000D2C22" w:rsidTr="006D7A3D">
        <w:trPr>
          <w:tblCellSpacing w:w="7" w:type="dxa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pct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592"/>
            </w:tblGrid>
            <w:tr w:rsidR="000D2C22" w:rsidRPr="000D2C22" w:rsidTr="006D7A3D">
              <w:trPr>
                <w:tblCellSpacing w:w="7" w:type="dxa"/>
                <w:jc w:val="center"/>
              </w:trPr>
              <w:tc>
                <w:tcPr>
                  <w:tcW w:w="5000" w:type="pct"/>
                  <w:shd w:val="clear" w:color="auto" w:fill="FFFFFF" w:themeFill="background1"/>
                  <w:hideMark/>
                </w:tcPr>
                <w:tbl>
                  <w:tblPr>
                    <w:tblW w:w="9270" w:type="dxa"/>
                    <w:tblCellSpacing w:w="15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0D2C22" w:rsidRPr="000D2C22" w:rsidTr="000D2C2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D2C22" w:rsidRPr="000D2C22" w:rsidRDefault="000D2C22" w:rsidP="006D7A3D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D2C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Расчет на прочность. 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Все виды разрушения рабочих поверхностей катков фрикционных пар (усталостное </w:t>
                        </w:r>
                        <w:proofErr w:type="spellStart"/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выкрашивание</w:t>
                        </w:r>
                        <w:proofErr w:type="spellEnd"/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зае</w:t>
                        </w:r>
                        <w:r w:rsidR="00D2230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дание и изнашивание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зависят от величины контактных напряжений </w:t>
                        </w:r>
                        <w:proofErr w:type="spellStart"/>
                        <w:r w:rsidR="00D223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Ϭ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н</w:t>
                        </w:r>
                        <w:proofErr w:type="spellEnd"/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в зоне контакта. Поэтому для фрикционных передач с металлическими 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катками 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основным критерием работоспособности является контактная усталостная прочность.</w:t>
                        </w:r>
                      </w:p>
                      <w:p w:rsidR="000D2C22" w:rsidRPr="000D2C22" w:rsidRDefault="000D2C22" w:rsidP="00D22303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При проверочном расчете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фрикционных передач на прочность (когда размеры тел качения известны) максимальные контактные напряжения 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н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 определяют по формуле Герца</w:t>
                        </w:r>
                      </w:p>
                      <w:p w:rsidR="000D2C22" w:rsidRPr="000D2C22" w:rsidRDefault="000D2C22" w:rsidP="000D2C22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Times New Roman" w:eastAsia="Times New Roman" w:hAnsi="Times New Roman" w:cs="Times New Roman"/>
                            <w:color w:val="656565"/>
                            <w:sz w:val="28"/>
                            <w:szCs w:val="28"/>
                            <w:lang w:eastAsia="ru-RU"/>
                          </w:rPr>
                        </w:pPr>
                        <w:r w:rsidRPr="000D2C22">
                          <w:rPr>
                            <w:rFonts w:ascii="Times New Roman" w:eastAsia="Times New Roman" w:hAnsi="Times New Roman" w:cs="Times New Roman"/>
                            <w:noProof/>
                            <w:color w:val="656565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3286125" cy="523875"/>
                              <wp:effectExtent l="0" t="0" r="9525" b="9525"/>
                              <wp:docPr id="1" name="Рисунок 1" descr="https://studref.com/htm/img/39/8844/28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tudref.com/htm/img/39/8844/28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3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r="2706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28612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2C22" w:rsidRDefault="000D2C22" w:rsidP="000D2C22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где </w:t>
                        </w:r>
                        <w:r w:rsidR="00FD132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w = F/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b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—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прижимная сила на единицу длины площадки контакта; 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Е = 2Е</w:t>
                        </w:r>
                        <w:proofErr w:type="gramStart"/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]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Е</w:t>
                        </w:r>
                        <w:proofErr w:type="gramEnd"/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/(Е + Е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приведенный модуль упругости; </w:t>
                        </w:r>
                        <w:proofErr w:type="spellStart"/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пр</w:t>
                        </w:r>
                        <w:proofErr w:type="spellEnd"/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= = 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RR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/(R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{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+ 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R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) —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приведенный радиус кривизны цилиндрических катков 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{</w:t>
                        </w:r>
                        <w:proofErr w:type="spellStart"/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Е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х</w:t>
                        </w:r>
                        <w:proofErr w:type="spellEnd"/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и Е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R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x</w:t>
                        </w:r>
                        <w:proofErr w:type="spellEnd"/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и 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R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—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соответственно модули упругости материалов и радиусы ведущего и ведомого катков); </w:t>
                        </w:r>
                        <w:r w:rsidR="00FD13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[Ϭ</w:t>
                        </w:r>
                        <w:r w:rsidR="00FD1329"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]</w:t>
                        </w:r>
                        <w:r w:rsidR="00FD13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н</w:t>
                        </w:r>
                        <w:r w:rsidR="00FD1329"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— допускаемое контактное напряжение для менее прочного из материалов пары катков.</w:t>
                        </w:r>
                      </w:p>
                      <w:p w:rsidR="00EB5340" w:rsidRPr="000D2C22" w:rsidRDefault="00EB5340" w:rsidP="000D2C22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Катки могут быть и неметаллические. Они рассчитываются по среднему давлению.</w:t>
                        </w:r>
                        <w:bookmarkStart w:id="0" w:name="_GoBack"/>
                        <w:bookmarkEnd w:id="0"/>
                      </w:p>
                      <w:p w:rsidR="000D2C22" w:rsidRPr="000D2C22" w:rsidRDefault="000D2C22" w:rsidP="000D2C22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D2C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0D2C22" w:rsidRPr="000D2C22" w:rsidRDefault="000D2C22" w:rsidP="00FD1329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24242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D2C22" w:rsidRPr="000D2C22" w:rsidRDefault="000D2C22" w:rsidP="000D2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  <w:r w:rsidRPr="000D2C22"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  <w:lastRenderedPageBreak/>
                    <w:t> </w:t>
                  </w:r>
                </w:p>
                <w:p w:rsidR="000D2C22" w:rsidRDefault="000D2C22" w:rsidP="000D2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  <w:p w:rsidR="000D2C22" w:rsidRPr="000D2C22" w:rsidRDefault="000D2C22" w:rsidP="000D2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D2C22" w:rsidRPr="000D2C22" w:rsidTr="00FD1329">
              <w:trPr>
                <w:trHeight w:val="28"/>
                <w:tblCellSpacing w:w="7" w:type="dxa"/>
                <w:jc w:val="center"/>
              </w:trPr>
              <w:tc>
                <w:tcPr>
                  <w:tcW w:w="5000" w:type="pct"/>
                  <w:shd w:val="clear" w:color="auto" w:fill="FFFFFF" w:themeFill="background1"/>
                  <w:hideMark/>
                </w:tcPr>
                <w:p w:rsidR="000D2C22" w:rsidRPr="000D2C22" w:rsidRDefault="000D2C22" w:rsidP="000D2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Merge w:val="restart"/>
            <w:shd w:val="clear" w:color="auto" w:fill="auto"/>
            <w:vAlign w:val="center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  <w:r w:rsidRPr="000D2C22"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4" w:type="pct"/>
            <w:shd w:val="clear" w:color="auto" w:fill="auto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0D2C22" w:rsidRPr="000D2C22" w:rsidTr="006D7A3D">
        <w:trPr>
          <w:tblCellSpacing w:w="7" w:type="dxa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pct"/>
            <w:vMerge/>
            <w:shd w:val="clear" w:color="auto" w:fill="auto"/>
            <w:vAlign w:val="center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Merge/>
            <w:shd w:val="clear" w:color="auto" w:fill="auto"/>
            <w:vAlign w:val="center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54" w:type="pct"/>
            <w:shd w:val="clear" w:color="auto" w:fill="auto"/>
            <w:vAlign w:val="center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C22" w:rsidRDefault="000D2C22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A2" w:rsidRDefault="004B5DA2" w:rsidP="004B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5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Вариаторы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B5DA2" w:rsidRPr="004B5DA2" w:rsidRDefault="004B5DA2" w:rsidP="004B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Вариаторы служат для изменения угловой скорости ведомого вала без изменения угловой скорости ведущего вала.</w:t>
      </w:r>
    </w:p>
    <w:p w:rsidR="004B5DA2" w:rsidRPr="004B5DA2" w:rsidRDefault="004B5DA2" w:rsidP="004B5DA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Лобовые вариаторы</w:t>
      </w:r>
      <w:r w:rsidRPr="004B5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2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рис.4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Н</w:t>
      </w:r>
      <w:r w:rsidR="00D22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просты.</w:t>
      </w:r>
      <w:r w:rsidRPr="004B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каток лобового вариатора </w:t>
      </w:r>
      <w:r w:rsidRPr="004B5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радиуса </w:t>
      </w:r>
      <w:r w:rsidRPr="004B5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4B5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танавливается на валу на скользящей шпонке и может перемещаться вдоль оси. Ведомый каток </w:t>
      </w:r>
      <w:r w:rsidRPr="004B5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2 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радиуса </w:t>
      </w:r>
      <w:r w:rsidRPr="004B5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4B5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B5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 на валу неподвижно. За счет нажимного устройства создается сила тре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   необходимая для  работы вариатора. Бесступенчатое изменение угловой скоро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 этом вариаторе достигается переме</w:t>
      </w: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щением вдоль вала ведущего катка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DA2" w:rsidRPr="004B5DA2" w:rsidRDefault="004B5DA2" w:rsidP="004B5D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</w:t>
      </w:r>
      <w:r w:rsidRPr="004B5D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2150" cy="1409700"/>
            <wp:effectExtent l="0" t="0" r="0" b="0"/>
            <wp:docPr id="127" name="Рисунок 127" descr="http://www.teormach.ru/lect9.files/image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teormach.ru/lect9.files/image29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A2" w:rsidRDefault="00D22303" w:rsidP="004B5DA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Рис.4</w:t>
      </w:r>
      <w:r w:rsidR="004B5DA2" w:rsidRPr="004B5DA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. Лобовой вариатор: 1 — </w:t>
      </w:r>
      <w:r w:rsidR="004B5DA2" w:rsidRPr="004B5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каток; </w:t>
      </w:r>
      <w:r w:rsidR="004B5DA2" w:rsidRPr="004B5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2 </w:t>
      </w:r>
      <w:r w:rsidR="004B5DA2" w:rsidRPr="004B5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ведомый каток</w:t>
      </w:r>
    </w:p>
    <w:p w:rsidR="00FD1329" w:rsidRPr="004B5DA2" w:rsidRDefault="00FD1329" w:rsidP="004B5DA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C22" w:rsidRPr="000D2C22" w:rsidRDefault="004B5DA2" w:rsidP="000D2C22">
      <w:pPr>
        <w:shd w:val="clear" w:color="auto" w:fill="FFFFFF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4B5D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 w:rsid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ω</w:t>
      </w:r>
      <w:r w:rsidR="000D2C22" w:rsidRP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bscript"/>
          <w:lang w:eastAsia="ru-RU"/>
        </w:rPr>
        <w:t xml:space="preserve">1 </w:t>
      </w:r>
      <w:r w:rsidR="000D2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0D2C22" w:rsidRPr="000D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="000D2C22" w:rsidRPr="000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0D2C22" w:rsidRPr="000D2C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D2C22" w:rsidRPr="004B5D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 w:rsid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ω</w:t>
      </w:r>
      <w:r w:rsid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bscript"/>
          <w:lang w:eastAsia="ru-RU"/>
        </w:rPr>
        <w:t>2</w:t>
      </w:r>
      <w:proofErr w:type="gramEnd"/>
      <w:r w:rsidR="000D2C22" w:rsidRP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bscript"/>
          <w:lang w:eastAsia="ru-RU"/>
        </w:rPr>
        <w:t xml:space="preserve"> </w:t>
      </w:r>
      <w:r w:rsidR="000D2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0D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="000D2C22" w:rsidRPr="000D2C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ω</w:t>
      </w:r>
      <w:r w:rsid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bscript"/>
          <w:lang w:eastAsia="ru-RU"/>
        </w:rPr>
        <w:t>2</w:t>
      </w:r>
      <w:r w:rsidR="000D2C22" w:rsidRP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= </w:t>
      </w:r>
      <w:r w:rsid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ω</w:t>
      </w:r>
      <w:r w:rsidR="000D2C22" w:rsidRP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bscript"/>
          <w:lang w:eastAsia="ru-RU"/>
        </w:rPr>
        <w:t xml:space="preserve">1 </w:t>
      </w:r>
      <w:r w:rsidR="000D2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0D2C22" w:rsidRPr="000D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0D2C22" w:rsidRPr="000D2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/</w:t>
      </w:r>
      <w:r w:rsidR="000D2C22" w:rsidRPr="000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C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0D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4B5DA2" w:rsidRPr="004B5DA2" w:rsidRDefault="000D2C22" w:rsidP="000D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B5DA2" w:rsidRPr="004B5D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Лобовой вариатор позволяет изменять </w:t>
      </w:r>
      <w:r w:rsidR="004B5DA2" w:rsidRPr="004B5D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направление и частоту вращения ведомого вата, останавливать его на ходу без выклю</w:t>
      </w:r>
      <w:r w:rsidR="004B5DA2" w:rsidRPr="004B5D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="004B5DA2" w:rsidRPr="004B5D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чения привода.</w:t>
      </w:r>
    </w:p>
    <w:p w:rsidR="004B5DA2" w:rsidRPr="00761250" w:rsidRDefault="004B5DA2" w:rsidP="00761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7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0"/>
      </w:tblGrid>
      <w:tr w:rsidR="006D7A3D" w:rsidRPr="000D2C22" w:rsidTr="00CF2894">
        <w:trPr>
          <w:tblCellSpacing w:w="15" w:type="dxa"/>
        </w:trPr>
        <w:tc>
          <w:tcPr>
            <w:tcW w:w="0" w:type="auto"/>
            <w:hideMark/>
          </w:tcPr>
          <w:p w:rsidR="006D7A3D" w:rsidRPr="000D2C22" w:rsidRDefault="006D7A3D" w:rsidP="00FD13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выполнения. Ответить на вопросы:</w:t>
            </w:r>
          </w:p>
          <w:p w:rsidR="006D7A3D" w:rsidRPr="000D2C22" w:rsidRDefault="006D7A3D" w:rsidP="00FD13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D2C2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 Как классифицируются фрикционные передачи? Перечислите основные виды передач.</w:t>
            </w:r>
          </w:p>
          <w:p w:rsidR="006D7A3D" w:rsidRPr="000D2C22" w:rsidRDefault="006D7A3D" w:rsidP="00FD13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D2C2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 Каковы достоинства и недостатки фрикционных передач?</w:t>
            </w:r>
          </w:p>
          <w:p w:rsidR="006D7A3D" w:rsidRPr="000D2C22" w:rsidRDefault="006D7A3D" w:rsidP="00FD13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D2C2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 Какие материалы применяются для изготовления катков фрикционных передач? Какими свойствами должны обладать эти материалы?</w:t>
            </w:r>
          </w:p>
          <w:p w:rsidR="006D7A3D" w:rsidRPr="000D2C22" w:rsidRDefault="006D7A3D" w:rsidP="00FD13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D2C2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 Как обеспечивается прижатие катков фрикционных передач?</w:t>
            </w:r>
          </w:p>
          <w:p w:rsidR="006D7A3D" w:rsidRPr="000D2C22" w:rsidRDefault="006D7A3D" w:rsidP="00FD13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D2C2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 Почему во фрикционных передачах непостоянное передаточное число?</w:t>
            </w:r>
          </w:p>
          <w:p w:rsidR="006D7A3D" w:rsidRPr="000D2C22" w:rsidRDefault="006D7A3D" w:rsidP="00FD13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  <w:r w:rsidRPr="000D2C2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 Какие устройства называют вариаторами? Их назначение.</w:t>
            </w:r>
          </w:p>
          <w:p w:rsidR="006D7A3D" w:rsidRPr="000D2C22" w:rsidRDefault="006D7A3D" w:rsidP="006D7A3D">
            <w:pPr>
              <w:spacing w:before="100" w:beforeAutospacing="1" w:after="100" w:afterAutospacing="1" w:line="225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</w:tbl>
    <w:p w:rsidR="004F18BC" w:rsidRPr="006D7A3D" w:rsidRDefault="004F18BC" w:rsidP="006D7A3D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3"/>
          <w:szCs w:val="23"/>
          <w:lang w:eastAsia="ru-RU"/>
        </w:rPr>
      </w:pPr>
      <w:r w:rsidRPr="0022421D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4F18BC" w:rsidRDefault="00FD1329" w:rsidP="004F18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Ответы </w:t>
      </w:r>
      <w:r w:rsidR="004F18BC" w:rsidRPr="0022421D">
        <w:rPr>
          <w:rFonts w:ascii="Times New Roman" w:eastAsia="Calibri" w:hAnsi="Times New Roman" w:cs="Times New Roman"/>
          <w:i/>
          <w:sz w:val="24"/>
        </w:rPr>
        <w:t>дать в электр</w:t>
      </w:r>
      <w:r w:rsidR="004B7466">
        <w:rPr>
          <w:rFonts w:ascii="Times New Roman" w:eastAsia="Calibri" w:hAnsi="Times New Roman" w:cs="Times New Roman"/>
          <w:i/>
          <w:sz w:val="24"/>
        </w:rPr>
        <w:t>онном формате до 07</w:t>
      </w:r>
      <w:r w:rsidR="004F18BC">
        <w:rPr>
          <w:rFonts w:ascii="Times New Roman" w:eastAsia="Calibri" w:hAnsi="Times New Roman" w:cs="Times New Roman"/>
          <w:i/>
          <w:sz w:val="24"/>
        </w:rPr>
        <w:t>.04</w:t>
      </w:r>
      <w:r w:rsidR="004F18BC" w:rsidRPr="0022421D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proofErr w:type="spellStart"/>
      <w:r w:rsidR="004F18BC" w:rsidRPr="0022421D">
        <w:rPr>
          <w:rFonts w:ascii="Times New Roman" w:eastAsia="Calibri" w:hAnsi="Times New Roman" w:cs="Times New Roman"/>
          <w:i/>
          <w:sz w:val="24"/>
          <w:lang w:val="en-US"/>
        </w:rPr>
        <w:t>galinakzn</w:t>
      </w:r>
      <w:proofErr w:type="spellEnd"/>
      <w:r w:rsidR="004F18BC" w:rsidRPr="0022421D">
        <w:rPr>
          <w:rFonts w:ascii="Times New Roman" w:eastAsia="Calibri" w:hAnsi="Times New Roman" w:cs="Times New Roman"/>
          <w:i/>
          <w:sz w:val="24"/>
        </w:rPr>
        <w:t>@</w:t>
      </w:r>
      <w:proofErr w:type="spellStart"/>
      <w:r w:rsidR="004F18BC" w:rsidRPr="0022421D">
        <w:rPr>
          <w:rFonts w:ascii="Times New Roman" w:eastAsia="Calibri" w:hAnsi="Times New Roman" w:cs="Times New Roman"/>
          <w:i/>
          <w:sz w:val="24"/>
          <w:lang w:val="en-US"/>
        </w:rPr>
        <w:t>gmail</w:t>
      </w:r>
      <w:proofErr w:type="spellEnd"/>
      <w:r w:rsidR="004F18BC" w:rsidRPr="0022421D">
        <w:rPr>
          <w:rFonts w:ascii="Times New Roman" w:eastAsia="Calibri" w:hAnsi="Times New Roman" w:cs="Times New Roman"/>
          <w:i/>
          <w:sz w:val="24"/>
        </w:rPr>
        <w:t>.</w:t>
      </w:r>
      <w:r w:rsidR="004F18BC" w:rsidRPr="0022421D">
        <w:rPr>
          <w:rFonts w:ascii="Times New Roman" w:eastAsia="Calibri" w:hAnsi="Times New Roman" w:cs="Times New Roman"/>
          <w:i/>
          <w:sz w:val="24"/>
          <w:lang w:val="en-US"/>
        </w:rPr>
        <w:t>com</w:t>
      </w:r>
      <w:r w:rsidR="004F18BC" w:rsidRPr="0022421D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4F18BC" w:rsidRPr="00822F52" w:rsidRDefault="004F18BC" w:rsidP="004F18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822F52">
        <w:rPr>
          <w:rFonts w:ascii="Times New Roman" w:eastAsia="Calibri" w:hAnsi="Times New Roman" w:cs="Times New Roman"/>
          <w:b/>
          <w:i/>
          <w:sz w:val="24"/>
        </w:rPr>
        <w:t>На выполненном задании указать фамилию и группу</w:t>
      </w:r>
    </w:p>
    <w:p w:rsidR="004F18BC" w:rsidRPr="00F445F7" w:rsidRDefault="004F18BC" w:rsidP="004F18BC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exact"/>
        <w:ind w:firstLine="499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5F7">
        <w:rPr>
          <w:rFonts w:ascii="Courier New" w:eastAsia="Times New Roman" w:hAnsi="Courier New" w:cs="Courier New"/>
          <w:color w:val="000000"/>
          <w:spacing w:val="-4"/>
          <w:w w:val="77"/>
          <w:lang w:eastAsia="ru-RU"/>
        </w:rPr>
        <w:t>.</w:t>
      </w:r>
    </w:p>
    <w:p w:rsidR="004F18BC" w:rsidRDefault="004F18BC"/>
    <w:sectPr w:rsidR="004F18BC" w:rsidSect="00F7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F6E"/>
    <w:multiLevelType w:val="multilevel"/>
    <w:tmpl w:val="7EE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05153"/>
    <w:multiLevelType w:val="multilevel"/>
    <w:tmpl w:val="36EA21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BC"/>
    <w:rsid w:val="00071F08"/>
    <w:rsid w:val="000D2C22"/>
    <w:rsid w:val="002E1EC9"/>
    <w:rsid w:val="004B5DA2"/>
    <w:rsid w:val="004B7466"/>
    <w:rsid w:val="004F18BC"/>
    <w:rsid w:val="006D7A3D"/>
    <w:rsid w:val="006E61D1"/>
    <w:rsid w:val="007110A8"/>
    <w:rsid w:val="00761250"/>
    <w:rsid w:val="00BE04D6"/>
    <w:rsid w:val="00D22303"/>
    <w:rsid w:val="00DF4BE6"/>
    <w:rsid w:val="00EB5340"/>
    <w:rsid w:val="00F756BE"/>
    <w:rsid w:val="00F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8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81464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896E-EBA8-43C8-9557-F9532279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su_ksa</cp:lastModifiedBy>
  <cp:revision>2</cp:revision>
  <cp:lastPrinted>2020-03-25T07:47:00Z</cp:lastPrinted>
  <dcterms:created xsi:type="dcterms:W3CDTF">2020-04-06T17:47:00Z</dcterms:created>
  <dcterms:modified xsi:type="dcterms:W3CDTF">2020-04-06T17:47:00Z</dcterms:modified>
</cp:coreProperties>
</file>